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spacing w:before="120" w:after="6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tabs>
          <w:tab w:val="clear" w:pos="708"/>
          <w:tab w:val="left" w:pos="3728" w:leader="none"/>
        </w:tabs>
        <w:rPr>
          <w:sz w:val="26"/>
          <w:szCs w:val="26"/>
        </w:rPr>
      </w:pPr>
      <w:r>
        <w:rPr/>
        <w:tab/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b/>
          <w:bCs/>
        </w:rPr>
      </w:pPr>
      <w:r>
        <w:rPr>
          <w:rFonts w:eastAsia="Calibri"/>
          <w:b/>
          <w:bCs/>
          <w:sz w:val="26"/>
          <w:szCs w:val="26"/>
        </w:rPr>
        <w:t xml:space="preserve"> №</w:t>
      </w:r>
      <w:r>
        <w:rPr>
          <w:rFonts w:eastAsia="Calibri"/>
          <w:b/>
          <w:bCs/>
          <w:sz w:val="26"/>
          <w:szCs w:val="26"/>
        </w:rPr>
        <w:t>90901-РЕМ ПРОД-2026-СахаЭ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left"/>
        <w:rPr/>
      </w:pPr>
      <w:r>
        <w:rPr>
          <w:rFonts w:eastAsia="Calibri"/>
          <w:b/>
          <w:bCs/>
          <w:sz w:val="26"/>
          <w:szCs w:val="26"/>
        </w:rPr>
        <w:tab/>
      </w:r>
      <w:r>
        <w:rPr>
          <w:rFonts w:eastAsia="Calibri"/>
          <w:b w:val="false"/>
          <w:bCs w:val="false"/>
          <w:sz w:val="26"/>
          <w:szCs w:val="26"/>
        </w:rPr>
        <w:t>ОКПД2 28.11.42.000 Поставка запасных частей для ДГ Caterpillar, Cummins для нужд ДЭС с. Саскылах Анабарского РЭС, Саккырыр Эвено-Бытантайского РЭС АО «Сахаэнерго»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5"/>
              <w:vanish w:val="false"/>
              <w:rFonts w:eastAsia="Calibri"/>
            </w:rPr>
            <w:instrText xml:space="preserve"> TOC \z \o "1-4" \u \h</w:instrText>
          </w:r>
          <w:r>
            <w:rPr>
              <w:webHidden/>
              <w:rStyle w:val="Style15"/>
              <w:vanish w:val="false"/>
              <w:rFonts w:eastAsia="Calibri"/>
            </w:rPr>
            <w:fldChar w:fldCharType="separate"/>
          </w:r>
          <w:hyperlink w:anchor="_Toc179884594" w:tgtFrame="#_Toc179884594">
            <w:r>
              <w:rPr>
                <w:webHidden/>
                <w:rStyle w:val="Style15"/>
                <w:rFonts w:eastAsia="Calibri"/>
                <w:vanish w:val="false"/>
              </w:rPr>
              <w:t>1.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595" w:tgtFrame="#_Toc179884595">
            <w:r>
              <w:rPr>
                <w:webHidden/>
                <w:rStyle w:val="Style15"/>
                <w:rFonts w:eastAsia="Calibri"/>
                <w:iCs/>
                <w:vanish w:val="false"/>
              </w:rPr>
              <w:t>1.1.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596" w:tgtFrame="#_Toc179884596">
            <w:r>
              <w:rPr>
                <w:webHidden/>
                <w:rStyle w:val="Style15"/>
                <w:rFonts w:eastAsia="Calibri"/>
                <w:iCs/>
                <w:vanish w:val="false"/>
              </w:rPr>
              <w:t>1.2.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597" w:tgtFrame="#_Toc179884597">
            <w:r>
              <w:rPr>
                <w:webHidden/>
                <w:rStyle w:val="Style15"/>
                <w:rFonts w:eastAsia="Calibri"/>
                <w:vanish w:val="false"/>
              </w:rPr>
              <w:t>1.3.    Цели использования закупаемой продукции.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9884598" w:tgtFrame="#_Toc179884598">
            <w:r>
              <w:rPr>
                <w:webHidden/>
                <w:rStyle w:val="Style15"/>
                <w:rFonts w:eastAsia="Calibri"/>
                <w:vanish w:val="false"/>
              </w:rPr>
              <w:t>2.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599" w:tgtFrame="#_Toc179884599">
            <w:r>
              <w:rPr>
                <w:webHidden/>
                <w:rStyle w:val="Style15"/>
                <w:rFonts w:eastAsia="Calibri"/>
                <w:iCs/>
                <w:vanish w:val="false"/>
              </w:rPr>
              <w:t>2.1.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_Toc179884599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600" w:tgtFrame="#_Toc179884600">
            <w:r>
              <w:rPr>
                <w:webHidden/>
                <w:rStyle w:val="Style15"/>
                <w:rFonts w:eastAsia="Calibri"/>
                <w:vanish w:val="false"/>
              </w:rPr>
              <w:t>2.1.1.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_Toc179884600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9884601" w:tgtFrame="#_Toc179884601">
            <w:r>
              <w:rPr>
                <w:webHidden/>
                <w:rStyle w:val="Style15"/>
                <w:rFonts w:eastAsia="Calibri"/>
                <w:vanish w:val="false"/>
              </w:rPr>
              <w:t>Таблица 1.1 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_Toc179884601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602" w:tgtFrame="#_Toc179884602">
            <w:r>
              <w:rPr>
                <w:webHidden/>
                <w:rStyle w:val="Style15"/>
                <w:rFonts w:eastAsia="Calibri"/>
                <w:vanish w:val="false"/>
              </w:rPr>
              <w:t>2.1.2.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срокам поставки продукции и оказания сопутствующих услуг</w:t>
            </w:r>
            <w:r>
              <w:rPr>
                <w:rStyle w:val="Style15"/>
              </w:rPr>
              <w:tab/>
            </w:r>
          </w:hyperlink>
          <w:r>
            <w:rPr/>
            <w:t>9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9884603" w:tgtFrame="#_Toc179884603">
            <w:r>
              <w:rPr>
                <w:webHidden/>
                <w:rStyle w:val="Style15"/>
                <w:rFonts w:eastAsia="Calibri"/>
                <w:vanish w:val="false"/>
              </w:rPr>
              <w:t>Таблица 2.1 Требования по срокам поставки продукции</w:t>
            </w:r>
            <w:r>
              <w:rPr>
                <w:rStyle w:val="Style15"/>
              </w:rPr>
              <w:tab/>
            </w:r>
          </w:hyperlink>
          <w:r>
            <w:rPr/>
            <w:t>10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79884604" w:tgtFrame="#_Toc179884604">
            <w:r>
              <w:rPr>
                <w:webHidden/>
                <w:rStyle w:val="Style15"/>
                <w:rFonts w:eastAsia="Calibri"/>
                <w:iCs/>
                <w:vanish w:val="false"/>
              </w:rPr>
              <w:t>2.2.</w:t>
            </w:r>
            <w:r>
              <w:rPr>
                <w:rStyle w:val="Style15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качеству продукции</w:t>
            </w:r>
            <w:r>
              <w:rPr>
                <w:rStyle w:val="Style15"/>
              </w:rPr>
              <w:tab/>
            </w:r>
          </w:hyperlink>
          <w:r>
            <w:rPr/>
            <w:t>10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9884606" w:tgtFrame="#_Toc179884606">
            <w:r>
              <w:rPr>
                <w:webHidden/>
                <w:rStyle w:val="Style15"/>
                <w:rFonts w:eastAsia="Calibri"/>
                <w:iCs/>
                <w:vanish w:val="false"/>
              </w:rPr>
              <w:t>Приложения</w:t>
            </w:r>
            <w:r>
              <w:rPr>
                <w:rStyle w:val="Style15"/>
              </w:rPr>
              <w:tab/>
              <w:t>1</w:t>
            </w:r>
          </w:hyperlink>
          <w:r>
            <w:rPr/>
            <w:t>2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9884605" w:tgtFrame="#_Toc179884605">
            <w:r>
              <w:rPr>
                <w:webHidden/>
                <w:rStyle w:val="Style15"/>
                <w:rFonts w:eastAsia="Calibri"/>
                <w:vanish w:val="false"/>
              </w:rPr>
              <w:t>Таблица 3. Требования к продукции</w:t>
            </w:r>
            <w:r>
              <w:rPr>
                <w:rStyle w:val="Style15"/>
              </w:rPr>
              <w:tab/>
            </w:r>
          </w:hyperlink>
          <w:r>
            <w:rPr/>
            <w:t>14</w:t>
          </w:r>
          <w:r>
            <w:rPr/>
            <w:fldChar w:fldCharType="end"/>
          </w:r>
        </w:p>
      </w:sdtContent>
    </w:sdt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Arial" w:cs="Arial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Arial" w:cs="Arial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Arial" w:cs="Arial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Arial" w:cs="Arial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caps/>
        </w:rPr>
      </w:pPr>
      <w:bookmarkStart w:id="0" w:name="_Toc51339692"/>
      <w:bookmarkStart w:id="1" w:name="_Toc179884594"/>
      <w:r>
        <w:rPr/>
        <w:t>Общие сведения</w:t>
      </w:r>
      <w:bookmarkEnd w:id="0"/>
      <w:bookmarkEnd w:id="1"/>
    </w:p>
    <w:p>
      <w:pPr>
        <w:pStyle w:val="Heading4"/>
        <w:numPr>
          <w:ilvl w:val="1"/>
          <w:numId w:val="1"/>
        </w:numPr>
        <w:rPr/>
      </w:pPr>
      <w:bookmarkStart w:id="2" w:name="_Toc46743505"/>
      <w:bookmarkStart w:id="3" w:name="_Toc17988459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9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rPr>
                <w:i/>
                <w:i/>
              </w:rPr>
            </w:pPr>
            <w:r>
              <w:rPr>
                <w:i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rPr>
                <w:i/>
                <w:i/>
              </w:rPr>
            </w:pPr>
            <w:r>
              <w:rPr>
                <w:i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rPr>
                <w:i/>
                <w:i/>
              </w:rPr>
            </w:pPr>
            <w:r>
              <w:rPr>
                <w:i/>
              </w:rPr>
              <w:t>ДГУ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rPr>
                <w:i/>
                <w:i/>
              </w:rPr>
            </w:pPr>
            <w:r>
              <w:rPr>
                <w:i/>
              </w:rPr>
              <w:t>Дизель-генераторная установка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>
          <w:sz w:val="22"/>
          <w:szCs w:val="22"/>
        </w:rPr>
      </w:pPr>
      <w:bookmarkStart w:id="4" w:name="_Toc46743506"/>
      <w:bookmarkStart w:id="5" w:name="_Toc179884596"/>
      <w:r>
        <w:rPr>
          <w:sz w:val="22"/>
          <w:szCs w:val="22"/>
        </w:rPr>
        <w:t>Наименование закупаемой продукции</w:t>
      </w:r>
      <w:bookmarkEnd w:id="4"/>
      <w:bookmarkEnd w:id="5"/>
    </w:p>
    <w:p>
      <w:pPr>
        <w:pStyle w:val="Heading4"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r>
        <w:rPr/>
        <w:tab/>
      </w:r>
      <w:r>
        <w:rPr>
          <w:b w:val="false"/>
          <w:bCs w:val="false"/>
        </w:rPr>
        <w:t>«ОКПД2 28.11.42.000 Поставка запасных частей для ДГ Caterpillar, Cummins для нужд ДЭС с. Саскылах Анабарского РЭС, Саккырыр Эвено-Бытантайского РЭС АО «Сахаэнерго»</w:t>
      </w:r>
    </w:p>
    <w:p>
      <w:pPr>
        <w:pStyle w:val="Normal"/>
        <w:tabs>
          <w:tab w:val="clear" w:pos="708"/>
        </w:tabs>
        <w:spacing w:before="240" w:after="60"/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b/>
          <w:bCs/>
          <w:sz w:val="22"/>
          <w:szCs w:val="22"/>
        </w:rPr>
        <w:t>1.3. Цели использования закупаемой продукции.</w:t>
      </w:r>
    </w:p>
    <w:p>
      <w:pPr>
        <w:pStyle w:val="Normal"/>
        <w:rPr/>
      </w:pPr>
      <w:r>
        <w:rPr>
          <w:sz w:val="22"/>
          <w:szCs w:val="22"/>
        </w:rPr>
        <w:t>Поставляемая продукция необходима для ремонта дизельных двигателей АО «Сахаэнерго»</w:t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sz w:val="22"/>
          <w:szCs w:val="22"/>
        </w:rPr>
      </w:pPr>
      <w:bookmarkStart w:id="6" w:name="_Toc46743510"/>
      <w:bookmarkStart w:id="7" w:name="_Toc179884598"/>
      <w:bookmarkStart w:id="8" w:name="_Toc51339693"/>
      <w:bookmarkStart w:id="9" w:name="_Toc50125126"/>
      <w:bookmarkEnd w:id="9"/>
      <w:r>
        <w:rPr>
          <w:iCs/>
          <w:sz w:val="22"/>
          <w:szCs w:val="22"/>
        </w:rPr>
        <w:t>Требования к продукции</w:t>
      </w:r>
      <w:bookmarkEnd w:id="7"/>
      <w:bookmarkEnd w:id="8"/>
    </w:p>
    <w:p>
      <w:pPr>
        <w:pStyle w:val="Heading4"/>
        <w:numPr>
          <w:ilvl w:val="1"/>
          <w:numId w:val="1"/>
        </w:numPr>
        <w:rPr>
          <w:sz w:val="22"/>
          <w:szCs w:val="22"/>
        </w:rPr>
      </w:pPr>
      <w:bookmarkStart w:id="10" w:name="_Toc179884599"/>
      <w:r>
        <w:rPr>
          <w:sz w:val="22"/>
          <w:szCs w:val="22"/>
        </w:rPr>
        <w:t>Требования к объемам и срокам поставки</w:t>
      </w:r>
      <w:bookmarkEnd w:id="10"/>
    </w:p>
    <w:p>
      <w:pPr>
        <w:pStyle w:val="Heading3"/>
        <w:numPr>
          <w:ilvl w:val="2"/>
          <w:numId w:val="1"/>
        </w:numPr>
        <w:rPr>
          <w:sz w:val="22"/>
          <w:szCs w:val="22"/>
        </w:rPr>
      </w:pPr>
      <w:bookmarkStart w:id="11" w:name="_Toc179884600"/>
      <w:r>
        <w:rPr>
          <w:sz w:val="22"/>
          <w:szCs w:val="22"/>
        </w:rPr>
        <w:t>Перечень и объем закупаемой продукции</w:t>
      </w:r>
      <w:bookmarkEnd w:id="11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bookmarkStart w:id="12" w:name="_Toc179884601"/>
      <w:bookmarkStart w:id="13" w:name="_Toc51339695"/>
      <w:r>
        <w:rPr>
          <w:sz w:val="22"/>
          <w:szCs w:val="22"/>
        </w:rPr>
        <w:t xml:space="preserve">Таблица 1.1 Перечень </w:t>
      </w:r>
      <w:bookmarkEnd w:id="13"/>
      <w:r>
        <w:rPr>
          <w:sz w:val="22"/>
          <w:szCs w:val="22"/>
        </w:rPr>
        <w:t>и объем закупаемой продукции</w:t>
      </w:r>
      <w:bookmarkEnd w:id="12"/>
    </w:p>
    <w:tbl>
      <w:tblPr>
        <w:tblW w:w="1036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40"/>
        <w:gridCol w:w="3985"/>
        <w:gridCol w:w="675"/>
        <w:gridCol w:w="915"/>
        <w:gridCol w:w="2086"/>
        <w:gridCol w:w="2263"/>
      </w:tblGrid>
      <w:tr>
        <w:trPr/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right="-79"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По коду</w:t>
            </w:r>
          </w:p>
          <w:p>
            <w:pPr>
              <w:pStyle w:val="Normal"/>
              <w:widowControl w:val="false"/>
              <w:ind w:right="-79"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 2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законодательства о национальном режиме</w:t>
            </w:r>
          </w:p>
        </w:tc>
      </w:tr>
      <w:tr>
        <w:trPr/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Картридж Caterpillar 1020292 для дизель-генераторной установки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28.11.42.000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91E42"/>
                <w:spacing w:val="0"/>
                <w:sz w:val="22"/>
                <w:szCs w:val="22"/>
              </w:rPr>
              <w:t>Преимущество товаров российского происхождения</w:t>
            </w:r>
          </w:p>
        </w:tc>
      </w:tr>
      <w:tr>
        <w:trPr/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Комплект для регулировки форсунок двигателей 49-14484-10100s4 Shantui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29.32.30.390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91E42"/>
                <w:spacing w:val="0"/>
                <w:sz w:val="22"/>
                <w:szCs w:val="22"/>
              </w:rPr>
              <w:t>Преимущество товаров российского происхождения</w:t>
            </w:r>
          </w:p>
        </w:tc>
      </w:tr>
      <w:tr>
        <w:trPr/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Патрубок воздушного фильтра 13016203 Megapower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6"/>
              <w:widowControl w:val="false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29.32.30.390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91E42"/>
                <w:spacing w:val="0"/>
                <w:sz w:val="22"/>
                <w:szCs w:val="22"/>
              </w:rPr>
              <w:t>Преимущество товаров российского происхождения</w:t>
            </w:r>
          </w:p>
        </w:tc>
      </w:tr>
    </w:tbl>
    <w:p>
      <w:pPr>
        <w:pStyle w:val="Heading3"/>
        <w:tabs>
          <w:tab w:val="clear" w:pos="0"/>
        </w:tabs>
        <w:ind w:left="122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3"/>
        <w:numPr>
          <w:ilvl w:val="2"/>
          <w:numId w:val="1"/>
        </w:numPr>
        <w:rPr>
          <w:sz w:val="22"/>
          <w:szCs w:val="22"/>
        </w:rPr>
      </w:pPr>
      <w:bookmarkStart w:id="14" w:name="_Toc179884602"/>
      <w:r>
        <w:rPr>
          <w:sz w:val="22"/>
          <w:szCs w:val="22"/>
        </w:rPr>
        <w:t>Требования к срокам поставки продукции и оказания сопутствующих услуг</w:t>
      </w:r>
      <w:bookmarkEnd w:id="14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bookmarkStart w:id="15" w:name="_Toc179884603"/>
      <w:bookmarkStart w:id="16" w:name="_Toc51339697"/>
      <w:bookmarkStart w:id="17" w:name="_Toc50125127"/>
      <w:bookmarkStart w:id="18" w:name="_Toc50125126_Копия_1"/>
      <w:bookmarkEnd w:id="18"/>
      <w:r>
        <w:rPr>
          <w:sz w:val="22"/>
          <w:szCs w:val="22"/>
        </w:rPr>
        <w:t xml:space="preserve">Таблица 2.1 </w:t>
      </w:r>
      <w:bookmarkStart w:id="19" w:name="_Hlk50465284"/>
      <w:r>
        <w:rPr>
          <w:sz w:val="22"/>
          <w:szCs w:val="22"/>
        </w:rPr>
        <w:t xml:space="preserve">Требования по срокам </w:t>
      </w:r>
      <w:bookmarkEnd w:id="16"/>
      <w:bookmarkEnd w:id="17"/>
      <w:bookmarkEnd w:id="19"/>
      <w:r>
        <w:rPr>
          <w:sz w:val="22"/>
          <w:szCs w:val="22"/>
        </w:rPr>
        <w:t>поставки продукции</w:t>
      </w:r>
      <w:bookmarkEnd w:id="15"/>
      <w:r>
        <w:rPr>
          <w:sz w:val="22"/>
          <w:szCs w:val="22"/>
        </w:rPr>
        <w:t xml:space="preserve"> </w:t>
      </w:r>
      <w:bookmarkStart w:id="20" w:name="_Toc50125131"/>
      <w:bookmarkStart w:id="21" w:name="_Toc54785622"/>
      <w:bookmarkEnd w:id="6"/>
      <w:bookmarkEnd w:id="21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60"/>
        <w:gridCol w:w="2720"/>
        <w:gridCol w:w="2982"/>
        <w:gridCol w:w="3113"/>
      </w:tblGrid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«ОКПД2 28.11.42.000 Поставка запасных частей для ДГ Caterpillar, Cummins для нужд ДЭС с. Саскылах Анабарского РЭС, Саккырыр Эвено-Бытантайского РЭС АО «Сахаэнерго»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С момента подписания Договора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В течение 45 календарных дней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1"/>
        </w:numPr>
        <w:rPr>
          <w:sz w:val="22"/>
          <w:szCs w:val="22"/>
        </w:rPr>
      </w:pPr>
      <w:bookmarkStart w:id="22" w:name="_Toc51339698"/>
      <w:bookmarkStart w:id="23" w:name="_Toc179884604"/>
      <w:bookmarkStart w:id="24" w:name="_Toc46743511"/>
      <w:r>
        <w:rPr>
          <w:sz w:val="22"/>
          <w:szCs w:val="22"/>
        </w:rPr>
        <w:t xml:space="preserve">Требования к </w:t>
      </w:r>
      <w:bookmarkEnd w:id="24"/>
      <w:r>
        <w:rPr>
          <w:sz w:val="22"/>
          <w:szCs w:val="22"/>
        </w:rPr>
        <w:t>качеству продукции</w:t>
      </w:r>
      <w:bookmarkEnd w:id="23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25" w:name="_Toc179884605"/>
      <w:r>
        <w:rPr>
          <w:sz w:val="22"/>
          <w:szCs w:val="22"/>
        </w:rPr>
        <w:t>Таблица 3. Требования к продукции</w:t>
      </w:r>
      <w:bookmarkEnd w:id="25"/>
      <w:r>
        <w:rPr>
          <w:sz w:val="22"/>
          <w:szCs w:val="22"/>
        </w:rPr>
        <w:t xml:space="preserve"> </w:t>
      </w:r>
      <w:bookmarkEnd w:id="20"/>
      <w:bookmarkEnd w:id="22"/>
    </w:p>
    <w:p>
      <w:pPr>
        <w:pStyle w:val="Normal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Наименование продукции (позиция № 1 – 3 Таблицы 1.1):</w:t>
      </w:r>
      <w:r>
        <w:rPr>
          <w:b w:val="false"/>
          <w:bCs w:val="false"/>
          <w:i/>
          <w:iCs/>
          <w:sz w:val="22"/>
          <w:szCs w:val="22"/>
        </w:rPr>
        <w:t xml:space="preserve">  «ОКПД2 28.11.42.000 Поставка запасных частей для ДГ Caterpillar, Cummins для нужд ДЭС с. Саскылах Анабарского РЭС, Саккырыр Эвено-Бытантайского РЭС АО «Сахаэнерго»</w:t>
      </w:r>
    </w:p>
    <w:tbl>
      <w:tblPr>
        <w:tblStyle w:val="1054"/>
        <w:tblW w:w="1570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81"/>
        <w:gridCol w:w="2692"/>
        <w:gridCol w:w="5530"/>
        <w:gridCol w:w="2268"/>
        <w:gridCol w:w="2518"/>
        <w:gridCol w:w="2016"/>
      </w:tblGrid>
      <w:tr>
        <w:trPr/>
        <w:tc>
          <w:tcPr>
            <w:tcW w:w="68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26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53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78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016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68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6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5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с требованием/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указание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характеристик</w:t>
            </w:r>
          </w:p>
        </w:tc>
        <w:tc>
          <w:tcPr>
            <w:tcW w:w="25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16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55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5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Приложении № 1 к настоящим Техническим требованиям</w:t>
            </w:r>
          </w:p>
        </w:tc>
        <w:tc>
          <w:tcPr>
            <w:tcW w:w="22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392" w:hRule="atLeast"/>
        </w:trPr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продукции</w:t>
            </w:r>
          </w:p>
        </w:tc>
        <w:tc>
          <w:tcPr>
            <w:tcW w:w="2268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18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313" w:hRule="atLeast"/>
        </w:trPr>
        <w:tc>
          <w:tcPr>
            <w:tcW w:w="68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kern w:val="0"/>
                <w:sz w:val="22"/>
                <w:szCs w:val="22"/>
                <w:lang w:val="ru-RU" w:eastAsia="ru-RU" w:bidi="ar-SA"/>
              </w:rPr>
              <w:t>2.1.</w:t>
            </w:r>
          </w:p>
        </w:tc>
        <w:tc>
          <w:tcPr>
            <w:tcW w:w="8222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Все предлагаемые к поставке позиции перечня продукции должны быть совместимы с двигателями  Caterpillar3412, ЯМЗ 536,CUMMINS NTA 855</w:t>
            </w:r>
          </w:p>
        </w:tc>
        <w:tc>
          <w:tcPr>
            <w:tcW w:w="2268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01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Cs/>
                <w:i/>
                <w:kern w:val="0"/>
                <w:sz w:val="22"/>
                <w:szCs w:val="22"/>
                <w:lang w:val="ru-RU" w:eastAsia="ru-RU" w:bidi="ar-SA"/>
              </w:rPr>
              <w:t>Место поставки</w:t>
            </w:r>
          </w:p>
        </w:tc>
        <w:tc>
          <w:tcPr>
            <w:tcW w:w="55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 Приемка продукции по количеству и качеству осуществляется по адресу: 677004, РФ, РС (Я), г. Якутск, ул. Беринга, 42 Производственная база АО «Сахаэнерго».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2. В случае несоответствия поставленной продукции требованиям технического задания, Поставщик за свой счет производит замену несоответствующего товара в течение 10 рабочих дней, в противном случае вся партия товара принята Заказчиком не будет.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Условия транспортирования</w:t>
            </w:r>
          </w:p>
        </w:tc>
        <w:tc>
          <w:tcPr>
            <w:tcW w:w="55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spacing w:before="0" w:after="0"/>
              <w:ind w:left="72" w:hanging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ГОСТ 15150-69 (ОЖ4). Обоснование: транспортировка в район Крайнего Севера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Lohit Devanagari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Тара, используемая при  транспортировке</w:t>
            </w:r>
          </w:p>
        </w:tc>
        <w:tc>
          <w:tcPr>
            <w:tcW w:w="5530" w:type="dxa"/>
            <w:tcBorders/>
          </w:tcPr>
          <w:p>
            <w:pPr>
              <w:pStyle w:val="Normal"/>
              <w:widowControl w:val="false"/>
              <w:spacing w:before="0" w:after="0"/>
              <w:ind w:left="72" w:hanging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- соответствие тары и упаковки для многоразовой перегрузки и транспортировки ТМЦ в условиях Крайнего Севера;</w:t>
            </w:r>
          </w:p>
          <w:p>
            <w:pPr>
              <w:pStyle w:val="Normal"/>
              <w:widowControl w:val="false"/>
              <w:spacing w:before="0" w:after="0"/>
              <w:ind w:left="72" w:hanging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- при отгрузке продукции в упакованных местах – вложение в каждое тарное место предусмотренного стандартами, техническими условиями. Особыми условиями поставки, иными обязательными правилами или Договором документа (упаковочного ярлыка), свидетельствующего о наименовании и количестве продукции, находящейся в данном тарном месте.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Срок гарантии</w:t>
            </w:r>
          </w:p>
        </w:tc>
        <w:tc>
          <w:tcPr>
            <w:tcW w:w="55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Срок гарантии на продукции должен составлять не менее 12 месяцев с даты подписания ТОРГ-12 или УПД.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Документы, передаваемые вместе с продукцией</w:t>
            </w:r>
          </w:p>
        </w:tc>
        <w:tc>
          <w:tcPr>
            <w:tcW w:w="55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Поставщик обязан одновременно с передачей продукции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товарную накладную унифицированной формы ТОРГ-12 в 2 экз.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2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 Поставляемая продукция должна быть новой (не бывшей в эксплуатации, не допускается поставка выставочных образцов, а также собранной из восстановленных узлов и материалов), свободной от третьих лиц. Дата выпуска: не ранее 2025 года.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2. Продукция должна быть сертифицирована, а также иметь все необходимые документы, позволяющие надлежащим образом использовать продукцию.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                     NewR"/>
                <w:i/>
                <w:i/>
                <w:iCs/>
                <w:sz w:val="22"/>
                <w:szCs w:val="22"/>
              </w:rPr>
            </w:pPr>
            <w:r>
              <w:rPr>
                <w:rFonts w:eastAsia="Tahoma" w:cs="Times                      NewR"/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ahoma" w:cs="Times                      NewR"/>
                <w:i/>
                <w:iCs/>
                <w:kern w:val="0"/>
                <w:sz w:val="22"/>
                <w:szCs w:val="22"/>
                <w:lang w:val="ru-RU" w:eastAsia="ru-RU" w:bidi="ar-SA"/>
              </w:rPr>
              <w:t>Указанные в настоящем ТТ ссылки на марку (тип) продукции носят описательный, а не обязательный характер 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cs="Times                      NewR"/>
                <w:i/>
                <w:i/>
                <w:iCs/>
                <w:sz w:val="22"/>
                <w:szCs w:val="22"/>
              </w:rPr>
            </w:pPr>
            <w:r>
              <w:rPr>
                <w:rFonts w:eastAsia="Tahoma" w:cs="Times                      NewR"/>
                <w:i/>
                <w:iCs/>
                <w:kern w:val="0"/>
                <w:sz w:val="22"/>
                <w:szCs w:val="22"/>
                <w:lang w:val="ru-RU" w:eastAsia="ru-RU" w:bidi="ar-SA"/>
              </w:rPr>
      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требований, обозначенных как «параметры эквивалентности».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cs="Times                      NewR"/>
                <w:i/>
                <w:i/>
                <w:iCs/>
                <w:sz w:val="22"/>
                <w:szCs w:val="22"/>
              </w:rPr>
            </w:pPr>
            <w:r>
              <w:rPr>
                <w:rFonts w:eastAsia="Tahoma" w:cs="Times                      NewR"/>
                <w:i/>
                <w:iCs/>
                <w:kern w:val="0"/>
                <w:sz w:val="22"/>
                <w:szCs w:val="22"/>
                <w:lang w:val="ru-RU" w:eastAsia="ru-RU" w:bidi="ar-SA"/>
              </w:rPr>
              <w:t>Параметрами эквивалентности являются технические характеристики продукции, указанные в приложении № 1 к настоящим техническим требованиям.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cs="Times                      NewR"/>
                <w:i/>
                <w:i/>
                <w:iCs/>
                <w:sz w:val="22"/>
                <w:szCs w:val="22"/>
              </w:rPr>
            </w:pPr>
            <w:r>
              <w:rPr>
                <w:rFonts w:cs="Times                      NewR"/>
                <w:i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Times                      NewR"/>
                <w:i/>
                <w:iCs/>
                <w:kern w:val="0"/>
                <w:sz w:val="22"/>
                <w:szCs w:val="22"/>
                <w:lang w:val="ru-RU" w:eastAsia="ru-RU" w:bidi="ar-SA"/>
              </w:rPr>
      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ahoma" w:cs="Lohit Devanaga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rFonts w:eastAsia="Tahoma" w:cs="Lohit Devanagari"/>
                <w:i/>
                <w:kern w:val="0"/>
                <w:sz w:val="22"/>
                <w:szCs w:val="22"/>
                <w:lang w:val="ru-RU" w:eastAsia="ru-RU" w:bidi="ar-SA"/>
              </w:rPr>
              <w:t>В случае предложения эквивалента предоставить каталог производителя на предлагаемую продукцию.</w:t>
            </w:r>
          </w:p>
        </w:tc>
        <w:tc>
          <w:tcPr>
            <w:tcW w:w="2016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Heading1"/>
        <w:keepLines/>
        <w:ind w:left="357" w:hanging="357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314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VBand="1" w:noHBand="0" w:lastColumn="0" w:firstColumn="1" w:lastRow="0" w:firstRow="1"/>
      </w:tblPr>
      <w:tblGrid>
        <w:gridCol w:w="848"/>
        <w:gridCol w:w="3732"/>
        <w:gridCol w:w="3643"/>
        <w:gridCol w:w="1954"/>
        <w:gridCol w:w="3118"/>
        <w:gridCol w:w="2018"/>
      </w:tblGrid>
      <w:tr>
        <w:trPr/>
        <w:tc>
          <w:tcPr>
            <w:tcW w:w="153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 w:val="false"/>
              <w:numPr>
                <w:ilvl w:val="0"/>
                <w:numId w:val="0"/>
              </w:numPr>
              <w:bidi w:val="0"/>
              <w:spacing w:before="120" w:after="60"/>
              <w:ind w:left="0" w:right="0" w:hanging="0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bidi="ar-SA"/>
              </w:rPr>
            </w:pPr>
            <w:bookmarkStart w:id="26" w:name="__RefHeading___Toc6884_173003830_Копия_1"/>
            <w:bookmarkEnd w:id="26"/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Требования по предоставлению национального режима </w:t>
            </w:r>
            <w:r>
              <w:rPr>
                <w:rFonts w:eastAsia="Calibri"/>
                <w:b w:val="false"/>
                <w:bCs w:val="false"/>
                <w:color w:val="auto"/>
                <w:sz w:val="24"/>
                <w:szCs w:val="24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</w:tr>
      <w:tr>
        <w:trPr/>
        <w:tc>
          <w:tcPr>
            <w:tcW w:w="8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37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Main14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По позициям таблицы 1.1.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,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по которым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 установлен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0"/>
                <w:szCs w:val="20"/>
                <w:shd w:fill="FFFF00" w:val="clear"/>
                <w:lang w:eastAsia="ru-RU"/>
              </w:rPr>
              <w:t>запрет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, по перечню согласно приложению N 1 ПП РФ № 1875.</w:t>
            </w:r>
          </w:p>
          <w:p>
            <w:pPr>
              <w:pStyle w:val="Main14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не допускаются:</w:t>
            </w:r>
          </w:p>
          <w:p>
            <w:pPr>
              <w:pStyle w:val="Main14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а) заключение договора на поставку такого товара,</w:t>
            </w:r>
          </w:p>
          <w:p>
            <w:pPr>
              <w:pStyle w:val="Main14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Поставляемая продукция должна быть  быть включена в р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еестры, а именно: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6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Реестр российской промышленной продукции, предусмотренные статьей 17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vertAlign w:val="superscript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 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719.                        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719;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6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6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rFonts w:eastAsia="Times New Roman"/>
                <w:color w:val="000000"/>
                <w:sz w:val="20"/>
                <w:szCs w:val="20"/>
                <w:shd w:fill="FFFFFF" w:val="clear"/>
                <w:lang w:val="ru-RU" w:eastAsia="ru-RU" w:bidi="ar-SA"/>
              </w:rPr>
              <w:t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color w:val="000000"/>
                <w:sz w:val="20"/>
                <w:szCs w:val="20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Calibri" w:eastAsiaTheme="minorHAnsi"/>
                <w:sz w:val="20"/>
                <w:szCs w:val="20"/>
                <w:shd w:fill="FFFFFF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>В составе заявки предоставить Коммерческое предложение по форме, установленной документацией о закупке, с указанием в отношении поставляемой продукции информации о номере реестровой записи из реестра российской промышленной продукции или номере реестровой записи из евразийского экономического союза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 1875) или гарантийное письмо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 1875 до момента поставки товара заказчику (указанные требования должны быть отражены в гарантийном письме)</w:t>
            </w:r>
          </w:p>
        </w:tc>
        <w:tc>
          <w:tcPr>
            <w:tcW w:w="2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4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37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По позициям таблицы 1.1., по которым при осуществлении закупки товара, если Правительством РФ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0"/>
                <w:szCs w:val="20"/>
                <w:shd w:fill="FFFF00" w:val="clear"/>
                <w:lang w:eastAsia="ru-RU"/>
              </w:rPr>
              <w:t xml:space="preserve">установлено </w:t>
            </w:r>
            <w:hyperlink r:id="rId5" w:tgtFrame="https://login.consultant.ru/link/?req=doc&amp;base=LAW&amp;n=494318&amp;dst=100007">
              <w:r>
                <w:rPr>
                  <w:rFonts w:eastAsia="Times New Roman" w:cs="Times New Roman"/>
                  <w:b/>
                  <w:bCs/>
                  <w:i w:val="false"/>
                  <w:iCs w:val="false"/>
                  <w:color w:val="000000"/>
                  <w:sz w:val="20"/>
                  <w:szCs w:val="20"/>
                  <w:shd w:fill="FFFF00" w:val="clear"/>
                  <w:lang w:eastAsia="ru-RU"/>
                </w:rPr>
                <w:t>ограничение</w:t>
              </w:r>
            </w:hyperlink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00" w:val="clear"/>
                <w:lang w:eastAsia="ru-RU"/>
              </w:rPr>
              <w:t xml:space="preserve">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закупок товаров, происходящих из иностранных государств (по перечню 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eastAsia="ru-RU"/>
              </w:rPr>
              <w:t>согласно приложению N 2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/>
              </w:rPr>
              <w:t xml:space="preserve"> ПП РФ № 1875)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,</w:t>
            </w:r>
          </w:p>
          <w:p>
            <w:pPr>
              <w:pStyle w:val="Main14"/>
              <w:widowControl w:val="false"/>
              <w:spacing w:lineRule="auto" w:line="240" w:before="0" w:afterAutospacing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не допускаются:</w:t>
            </w:r>
          </w:p>
          <w:p>
            <w:pPr>
              <w:pStyle w:val="Main14"/>
              <w:widowControl w:val="false"/>
              <w:spacing w:lineRule="auto" w:line="240" w:before="0" w:afterAutospacing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</w:p>
          <w:p>
            <w:pPr>
              <w:pStyle w:val="Main14"/>
              <w:widowControl w:val="false"/>
              <w:spacing w:lineRule="auto" w:line="240" w:before="0" w:afterAutospacing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Поставляемая продукция должна быть  быть включена в р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еестры, а именно: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Реестр российской промышленной продукции, предусмотренные статьей 17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vertAlign w:val="superscript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 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719;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.</w:t>
            </w:r>
          </w:p>
          <w:p>
            <w:pPr>
              <w:pStyle w:val="NormalWeb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rFonts w:ascii="Times New Roman" w:hAnsi="Times New Roman" w:cs="Times New Roman"/>
                <w:i w:val="false"/>
                <w:i w:val="false"/>
                <w:iCs w:val="false"/>
                <w:caps w:val="false"/>
                <w:smallCaps w:val="false"/>
                <w:color w:val="auto"/>
                <w:spacing w:val="0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</w:rPr>
            </w:r>
          </w:p>
          <w:p>
            <w:pPr>
              <w:pStyle w:val="NormalWeb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8" w:type="dxa"/>
            <w:tcBorders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4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37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shd w:fill="FFFFFF" w:val="clear"/>
                <w:lang w:eastAsia="ru-RU"/>
              </w:rPr>
              <w:t>По позициям таблицы 1.1., по которым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>ри осуществлении закупки товара,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если Правительством РФ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shd w:fill="FFFF00" w:val="clear"/>
                <w:lang w:eastAsia="ru-RU"/>
              </w:rPr>
              <w:t xml:space="preserve">установлено </w:t>
            </w:r>
            <w:hyperlink r:id="rId6" w:tgtFrame="https://login.consultant.ru/link/?req=doc&amp;base=LAW&amp;n=494318&amp;dst=100008">
              <w:r>
                <w:rPr>
                  <w:rFonts w:eastAsia="Times New Roman" w:cs="Times New Roman"/>
                  <w:b/>
                  <w:bCs/>
                  <w:color w:val="000000"/>
                  <w:sz w:val="20"/>
                  <w:szCs w:val="20"/>
                  <w:shd w:fill="FFFF00" w:val="clear"/>
                  <w:lang w:eastAsia="ru-RU"/>
                </w:rPr>
                <w:t>преимущество</w:t>
              </w:r>
            </w:hyperlink>
            <w:r>
              <w:rPr>
                <w:rFonts w:eastAsia="Times New Roman" w:cs="Times New Roman"/>
                <w:color w:val="000000"/>
                <w:sz w:val="20"/>
                <w:szCs w:val="20"/>
                <w:shd w:fill="FFFF00" w:val="clear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>в отношении товаров российского происхождения: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sz w:val="20"/>
                  <w:szCs w:val="20"/>
                  <w:shd w:fill="FFFFFF" w:val="clear"/>
                  <w:lang w:eastAsia="ru-RU"/>
                </w:rPr>
                <w:t>подпункте «а</w:t>
              </w:r>
            </w:hyperlink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sz w:val="20"/>
                  <w:szCs w:val="20"/>
                  <w:shd w:fill="FFFFFF" w:val="clear"/>
                  <w:lang w:eastAsia="ru-RU"/>
                </w:rPr>
                <w:t>подпунктом «а»</w:t>
              </w:r>
            </w:hyperlink>
            <w:r>
              <w:rPr>
                <w:rFonts w:eastAsia="Times New Roman" w:cs="Times New Roman"/>
                <w:color w:val="000000"/>
                <w:sz w:val="20"/>
                <w:szCs w:val="20"/>
                <w:shd w:fill="FFFFFF" w:val="clear"/>
                <w:lang w:eastAsia="ru-RU"/>
              </w:rPr>
              <w:t xml:space="preserve"> настоящего пункта,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0"/>
                <w:szCs w:val="20"/>
                <w:u w:val="none"/>
                <w:shd w:fill="FFFFFF" w:val="clear"/>
                <w:lang w:eastAsia="ru-RU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>Указание в заявке на участие в закупке наименования страны происхождения товара в соответствии с Общероссийским классификатором стран мира (ОКСМ)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sz w:val="20"/>
                <w:szCs w:val="20"/>
                <w:shd w:fill="FFFFFF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 xml:space="preserve">В составе заявки предоставить Коммерческое предложение по форме, установленной документацией о закупке, с указанием в отношении поставляемой продукции информации о номере реестровой записи из реестра российской промышленной продукции или номере реестровой записи из евразийского экономического союза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 1875) </w:t>
            </w: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00" w:val="clear"/>
                <w:lang w:val="ru-RU" w:eastAsia="ru-RU" w:bidi="ar-SA"/>
              </w:rPr>
              <w:t>или гарантийное письмо</w:t>
            </w: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  <w:lang w:val="ru-RU" w:eastAsia="ru-RU" w:bidi="ar-SA"/>
              </w:rPr>
              <w:t xml:space="preserve">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 1875 до момента поставки товара заказчику (указанные требования должны быть отражены в гарантийном письме)</w:t>
            </w:r>
          </w:p>
        </w:tc>
        <w:tc>
          <w:tcPr>
            <w:tcW w:w="2018" w:type="dxa"/>
            <w:tcBorders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ind w:hanging="0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Fonts w:eastAsia="Calibri"/>
          <w:b/>
          <w:bCs/>
          <w:color w:val="FF0000"/>
          <w:sz w:val="22"/>
          <w:szCs w:val="22"/>
        </w:rPr>
      </w:pPr>
      <w:r>
        <w:rPr>
          <w:rFonts w:eastAsia="Calibri"/>
          <w:b/>
          <w:bCs/>
          <w:color w:val="FF0000"/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bCs/>
          <w:i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</w:p>
    <w:p>
      <w:pPr>
        <w:pStyle w:val="Normal"/>
        <w:jc w:val="right"/>
        <w:rPr>
          <w:bCs/>
          <w:i/>
          <w:i/>
          <w:sz w:val="22"/>
          <w:szCs w:val="22"/>
          <w:highlight w:val="none"/>
        </w:rPr>
      </w:pPr>
      <w:r>
        <w:rPr>
          <w:i/>
          <w:sz w:val="22"/>
          <w:szCs w:val="22"/>
        </w:rPr>
        <w:t>Приложение №1</w:t>
      </w:r>
    </w:p>
    <w:p>
      <w:pPr>
        <w:pStyle w:val="Normal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spacing w:before="0" w:after="120"/>
        <w:jc w:val="both"/>
        <w:rPr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>Таблица 3.1. Требования к продукции (индивидуальные требования по каждой позиции перечня продукции)</w:t>
      </w:r>
    </w:p>
    <w:p>
      <w:pPr>
        <w:pStyle w:val="Normal"/>
        <w:spacing w:before="0" w:after="120"/>
        <w:ind w:right="397" w:hanging="0"/>
        <w:jc w:val="both"/>
        <w:rPr>
          <w:b/>
          <w:bCs/>
          <w:i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Наименование продукции: </w:t>
      </w:r>
      <w:r>
        <w:rPr>
          <w:b w:val="false"/>
          <w:bCs w:val="false"/>
          <w:i/>
          <w:iCs/>
          <w:sz w:val="22"/>
          <w:szCs w:val="22"/>
        </w:rPr>
        <w:t xml:space="preserve"> «ОКПД2 28.11.42.000 Поставка запасных частей для ДГ Caterpillar, Cummins для нужд ДЭС с. Саскылах Анабарского РЭС, Саккырыр Эвено-Бытантайского РЭС АО «Сахаэнерго»</w:t>
      </w:r>
    </w:p>
    <w:tbl>
      <w:tblPr>
        <w:tblStyle w:val="1055"/>
        <w:tblW w:w="154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"/>
        <w:gridCol w:w="3593"/>
        <w:gridCol w:w="2976"/>
        <w:gridCol w:w="1985"/>
        <w:gridCol w:w="2210"/>
        <w:gridCol w:w="2179"/>
        <w:gridCol w:w="1605"/>
      </w:tblGrid>
      <w:tr>
        <w:trPr>
          <w:trHeight w:val="311" w:hRule="atLeast"/>
        </w:trPr>
        <w:tc>
          <w:tcPr>
            <w:tcW w:w="8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359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Наименование параметра</w:t>
            </w:r>
          </w:p>
        </w:tc>
        <w:tc>
          <w:tcPr>
            <w:tcW w:w="4961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Требование заказчика</w:t>
            </w:r>
          </w:p>
        </w:tc>
        <w:tc>
          <w:tcPr>
            <w:tcW w:w="4389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605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726" w:hRule="atLeast"/>
        </w:trPr>
        <w:tc>
          <w:tcPr>
            <w:tcW w:w="8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59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22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217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605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</w:r>
          </w:p>
        </w:tc>
      </w:tr>
      <w:tr>
        <w:trPr>
          <w:trHeight w:val="223" w:hRule="atLeast"/>
        </w:trPr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35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kern w:val="0"/>
                <w:sz w:val="20"/>
                <w:szCs w:val="20"/>
                <w:lang w:val="en-US" w:eastAsia="en-US" w:bidi="ar-SA"/>
              </w:rPr>
              <w:t>4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bCs/>
                <w:kern w:val="0"/>
                <w:sz w:val="20"/>
                <w:szCs w:val="20"/>
                <w:lang w:val="en-US" w:eastAsia="en-US" w:bidi="ar-SA"/>
              </w:rPr>
              <w:t>5</w:t>
            </w:r>
          </w:p>
        </w:tc>
        <w:tc>
          <w:tcPr>
            <w:tcW w:w="217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bCs/>
                <w:kern w:val="0"/>
                <w:sz w:val="20"/>
                <w:szCs w:val="20"/>
                <w:lang w:val="en-US" w:eastAsia="en-US" w:bidi="ar-SA"/>
              </w:rPr>
              <w:t>6</w:t>
            </w:r>
          </w:p>
        </w:tc>
        <w:tc>
          <w:tcPr>
            <w:tcW w:w="16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bCs/>
                <w:kern w:val="0"/>
                <w:sz w:val="20"/>
                <w:szCs w:val="20"/>
                <w:lang w:val="en-US" w:eastAsia="en-US" w:bidi="ar-SA"/>
              </w:rPr>
              <w:t>7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0"/>
              <w:ind w:left="340" w:right="0" w:hanging="17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i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9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Calibri" w:cs="Arial" w:ascii="Calibri" w:hAnsi="Calibri"/>
                <w:kern w:val="0"/>
                <w:sz w:val="22"/>
                <w:szCs w:val="22"/>
                <w:lang w:val="ru-RU" w:eastAsia="en-US" w:bidi="ar-SA"/>
              </w:rPr>
              <w:t>Картридж Caterpillar 1020292 для дизель-генераторной установки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1020292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продукции, товарной марки (в случае наличия), модели (в случае наличия) которая идентифицирует продукцию производителя или продавца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highlight w:val="white"/>
                <w:lang w:val="ru-RU" w:eastAsia="en-US" w:bidi="ar-SA"/>
              </w:rPr>
              <w:t>В случае предложения эквивалента указать технические характеристики производителя на предлагаемую продукцию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 w:themeShade="80"/>
                <w:kern w:val="0"/>
                <w:sz w:val="20"/>
                <w:szCs w:val="20"/>
                <w:u w:val="none"/>
                <w:em w:val="none"/>
                <w:lang w:val="ru-RU" w:eastAsia="en-US" w:bidi="ar-SA"/>
              </w:rPr>
              <w:t>С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пособ подтверждения: согласие с требованием Заказчика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0"/>
              <w:contextualSpacing/>
              <w:jc w:val="center"/>
              <w:rPr>
                <w:rFonts w:ascii="Times New Roman" w:hAnsi="Times New Roman" w:eastAsia="Calibri" w:cs="Calibri" w:cstheme="minorHAnsi" w:eastAsiaTheme="minorHAnsi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iCs/>
                <w:color w:val="000000"/>
                <w:sz w:val="20"/>
                <w:szCs w:val="20"/>
              </w:rPr>
            </w:r>
          </w:p>
        </w:tc>
        <w:tc>
          <w:tcPr>
            <w:tcW w:w="359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Calibri" w:cs="Arial" w:ascii="Calibri" w:hAnsi="Calibri"/>
                <w:kern w:val="0"/>
                <w:sz w:val="22"/>
                <w:szCs w:val="22"/>
                <w:lang w:val="ru-RU" w:eastAsia="en-US" w:bidi="ar-SA"/>
              </w:rPr>
              <w:t>Комплект для регулировки форсунок двигателей 49-14484-10100s4 Shantui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49-14484-10100s4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продукции, товарной марки (в случае наличия), модели (в случае наличия) которая идентифицирует продукцию производителя или продавца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highlight w:val="white"/>
                <w:lang w:val="ru-RU" w:eastAsia="en-US" w:bidi="ar-SA"/>
              </w:rPr>
              <w:t>В случае предложения эквивалента указать технические характеристики производителя на предлагаемую продукцию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 w:themeShade="80"/>
                <w:kern w:val="0"/>
                <w:sz w:val="20"/>
                <w:szCs w:val="20"/>
                <w:u w:val="none"/>
                <w:em w:val="none"/>
                <w:lang w:val="ru-RU" w:eastAsia="en-US" w:bidi="ar-SA"/>
              </w:rPr>
              <w:t>С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пособ подтверждения: согласие с требованием Заказчика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0"/>
              <w:contextualSpacing/>
              <w:jc w:val="center"/>
              <w:rPr>
                <w:rFonts w:ascii="Times New Roman" w:hAnsi="Times New Roman" w:eastAsia="Calibri" w:cs="Calibri" w:cstheme="minorHAnsi" w:eastAsiaTheme="minorHAnsi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iCs/>
                <w:color w:val="000000"/>
                <w:sz w:val="20"/>
                <w:szCs w:val="20"/>
              </w:rPr>
            </w:r>
          </w:p>
        </w:tc>
        <w:tc>
          <w:tcPr>
            <w:tcW w:w="359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Calibri" w:cs="Arial" w:ascii="Calibri" w:hAnsi="Calibri"/>
                <w:kern w:val="0"/>
                <w:sz w:val="22"/>
                <w:szCs w:val="22"/>
                <w:lang w:val="ru-RU" w:eastAsia="en-US" w:bidi="ar-SA"/>
              </w:rPr>
              <w:t>Патрубок воздушного фильтра 13016203 Megapower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13016203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продукции, товарной марки (в случае наличия), модели (в случае наличия) которая идентифицирует продукцию производителя или продавца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В случае предложения эквивалента указать технические характеристики производителя на предлагаемую продукцию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 w:themeShade="80"/>
                <w:kern w:val="0"/>
                <w:sz w:val="20"/>
                <w:szCs w:val="20"/>
                <w:u w:val="none"/>
                <w:em w:val="none"/>
                <w:lang w:val="ru-RU" w:eastAsia="en-US" w:bidi="ar-SA"/>
              </w:rPr>
              <w:t>С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пособ подтверждения: согласие с требованием Заказчика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before="0" w:after="120"/>
        <w:ind w:right="397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521335</wp:posOffset>
            </wp:positionH>
            <wp:positionV relativeFrom="paragraph">
              <wp:posOffset>10160</wp:posOffset>
            </wp:positionV>
            <wp:extent cx="4199890" cy="1360170"/>
            <wp:effectExtent l="0" t="0" r="0" b="0"/>
            <wp:wrapSquare wrapText="largest"/>
            <wp:docPr id="3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4201" t="38151" r="30835" b="3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5243195</wp:posOffset>
            </wp:positionH>
            <wp:positionV relativeFrom="paragraph">
              <wp:posOffset>-62865</wp:posOffset>
            </wp:positionV>
            <wp:extent cx="3657600" cy="2005965"/>
            <wp:effectExtent l="0" t="0" r="0" b="0"/>
            <wp:wrapSquare wrapText="largest"/>
            <wp:docPr id="4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226" t="18362" r="30615" b="52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/>
      </w:r>
    </w:p>
    <w:sectPr>
      <w:headerReference w:type="default" r:id="rId9"/>
      <w:headerReference w:type="first" r:id="rId10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color w:val="2F5496" w:themeColor="accent1" w:themeShade="bf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1" w:customStyle="1">
    <w:name w:val="Название Знак1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2F5496" w:themeColor="accent1" w:themeShade="bf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Style" w:customStyle="1">
    <w:name w:val="Нижний колонтитул Знак"/>
    <w:basedOn w:val="DefaultParagraphFont"/>
    <w:uiPriority w:val="99"/>
    <w:qFormat/>
    <w:rPr/>
  </w:style>
  <w:style w:type="character" w:styleId="FootnoteTextChar" w:customStyle="1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1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2" w:customStyle="1">
    <w:name w:val="Название Знак"/>
    <w:link w:val="17"/>
    <w:uiPriority w:val="10"/>
    <w:qFormat/>
    <w:rPr>
      <w:sz w:val="28"/>
    </w:rPr>
  </w:style>
  <w:style w:type="character" w:styleId="Style3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4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5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2" w:customStyle="1">
    <w:name w:val="Подпункт Знак1"/>
    <w:link w:val="Style23"/>
    <w:qFormat/>
    <w:rPr>
      <w:sz w:val="28"/>
    </w:rPr>
  </w:style>
  <w:style w:type="character" w:styleId="Style6" w:customStyle="1">
    <w:name w:val="Текст сноски Знак"/>
    <w:uiPriority w:val="99"/>
    <w:qFormat/>
    <w:rPr/>
  </w:style>
  <w:style w:type="character" w:styleId="Style7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8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9" w:customStyle="1">
    <w:name w:val="комментарий"/>
    <w:qFormat/>
    <w:rPr>
      <w:b/>
      <w:i/>
      <w:shd w:fill="FFFF99" w:val="clear"/>
    </w:rPr>
  </w:style>
  <w:style w:type="character" w:styleId="Style10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1" w:customStyle="1">
    <w:name w:val="Верхний колонтитул Знак"/>
    <w:uiPriority w:val="99"/>
    <w:qFormat/>
    <w:rPr>
      <w:sz w:val="24"/>
      <w:szCs w:val="24"/>
    </w:rPr>
  </w:style>
  <w:style w:type="character" w:styleId="Style12" w:customStyle="1">
    <w:name w:val="Текст примечания Знак"/>
    <w:link w:val="Annotationtext"/>
    <w:semiHidden/>
    <w:qFormat/>
    <w:rPr/>
  </w:style>
  <w:style w:type="character" w:styleId="Style13" w:customStyle="1">
    <w:name w:val="Текст концевой сноски Знак"/>
    <w:basedOn w:val="DefaultParagraphFont"/>
    <w:qFormat/>
    <w:rPr/>
  </w:style>
  <w:style w:type="character" w:styleId="Style14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3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Символ нумерации"/>
    <w:qFormat/>
    <w:rPr/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</w:rPr>
  </w:style>
  <w:style w:type="paragraph" w:styleId="BodyText">
    <w:name w:val="Body Text"/>
    <w:basedOn w:val="Normal"/>
    <w:link w:val="Style7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Style17"/>
    <w:qFormat/>
    <w:pPr/>
    <w:rPr/>
  </w:style>
  <w:style w:type="paragraph" w:styleId="15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15"/>
    <w:qFormat/>
    <w:pPr/>
    <w:rPr/>
  </w:style>
  <w:style w:type="paragraph" w:styleId="Title">
    <w:name w:val="Title"/>
    <w:basedOn w:val="Normal"/>
    <w:next w:val="Normal"/>
    <w:link w:val="1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Indexheading111" w:customStyle="1">
    <w:name w:val="index heading111"/>
    <w:basedOn w:val="15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15"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tabs>
        <w:tab w:val="clear" w:pos="708"/>
        <w:tab w:val="left" w:pos="360" w:leader="none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tabs>
        <w:tab w:val="clear" w:pos="708"/>
        <w:tab w:val="left" w:pos="357" w:leader="none"/>
      </w:tabs>
      <w:spacing w:before="80" w:after="80"/>
      <w:jc w:val="both"/>
    </w:pPr>
    <w:rPr/>
  </w:style>
  <w:style w:type="paragraph" w:styleId="FootnoteText">
    <w:name w:val="Footnote Text"/>
    <w:basedOn w:val="Normal"/>
    <w:link w:val="Style6"/>
    <w:uiPriority w:val="99"/>
    <w:pPr/>
    <w:rPr>
      <w:sz w:val="20"/>
      <w:szCs w:val="20"/>
    </w:rPr>
  </w:style>
  <w:style w:type="paragraph" w:styleId="16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7" w:customStyle="1">
    <w:name w:val="Название1"/>
    <w:basedOn w:val="Normal"/>
    <w:link w:val="Style2"/>
    <w:uiPriority w:val="10"/>
    <w:qFormat/>
    <w:pPr>
      <w:jc w:val="center"/>
    </w:pPr>
    <w:rPr>
      <w:szCs w:val="20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2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2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11" w:customStyle="1">
    <w:name w:val="caption1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3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8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4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5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tabs>
        <w:tab w:val="clear" w:pos="708"/>
        <w:tab w:val="left" w:pos="1233" w:leader="none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tabs>
        <w:tab w:val="clear" w:pos="708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tabs>
        <w:tab w:val="clear" w:pos="708"/>
        <w:tab w:val="left" w:pos="513" w:leader="none"/>
      </w:tabs>
      <w:spacing w:before="120" w:after="0"/>
      <w:ind w:left="513" w:hanging="36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1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tabs>
        <w:tab w:val="clear" w:pos="708"/>
        <w:tab w:val="left" w:pos="0" w:leader="none"/>
      </w:tabs>
      <w:spacing w:lineRule="exact" w:line="360" w:before="120" w:after="0"/>
      <w:ind w:left="1985" w:hanging="567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tabs>
        <w:tab w:val="clear" w:pos="708"/>
        <w:tab w:val="left" w:pos="0" w:leader="none"/>
      </w:tabs>
      <w:spacing w:lineRule="exact" w:line="360" w:before="120" w:after="0"/>
      <w:ind w:left="2268" w:hanging="567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tabs>
        <w:tab w:val="clear" w:pos="708"/>
        <w:tab w:val="left" w:pos="0" w:leader="none"/>
      </w:tabs>
      <w:spacing w:lineRule="exact" w:line="360" w:before="120" w:after="0"/>
      <w:ind w:left="1701" w:hanging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tabs>
        <w:tab w:val="clear" w:pos="708"/>
        <w:tab w:val="left" w:pos="0" w:leader="none"/>
      </w:tabs>
      <w:spacing w:lineRule="exact" w:line="360" w:before="120" w:after="0"/>
      <w:ind w:left="0" w:hanging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tabs>
        <w:tab w:val="clear" w:pos="708"/>
        <w:tab w:val="left" w:pos="0" w:leader="none"/>
      </w:tabs>
      <w:spacing w:lineRule="exact" w:line="360" w:before="120" w:after="120"/>
      <w:ind w:left="1134" w:hanging="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EndnoteText">
    <w:name w:val="Endnote Text"/>
    <w:basedOn w:val="Normal"/>
    <w:link w:val="Style13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tabs>
        <w:tab w:val="clear" w:pos="708"/>
        <w:tab w:val="left" w:pos="0" w:leader="none"/>
      </w:tabs>
      <w:spacing w:before="120" w:after="120"/>
      <w:ind w:left="1429" w:hanging="36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Main14">
    <w:name w:val="Main 14"/>
    <w:basedOn w:val="Caption"/>
    <w:qFormat/>
    <w:pPr>
      <w:keepNext w:val="false"/>
      <w:keepLines w:val="false"/>
      <w:pageBreakBefore w:val="false"/>
      <w:widowControl/>
      <w:shd w:val="nil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numbering" w:styleId="12706396451" w:customStyle="1">
    <w:name w:val="12706396451"/>
    <w:qFormat/>
  </w:style>
  <w:style w:type="table" w:styleId="909">
    <w:name w:val="Plain Table 1"/>
    <w:basedOn w:val="92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0">
    <w:name w:val="Plain Table 2"/>
    <w:basedOn w:val="92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1">
    <w:name w:val="Plain Table 3"/>
    <w:basedOn w:val="9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2">
    <w:name w:val="Plain Table 4"/>
    <w:basedOn w:val="9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3">
    <w:name w:val="Plain Table 5"/>
    <w:basedOn w:val="9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4">
    <w:name w:val="Grid Table 1 Light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5">
    <w:name w:val="Grid Table 2"/>
    <w:basedOn w:val="9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6">
    <w:name w:val="Grid Table 3"/>
    <w:basedOn w:val="9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7">
    <w:name w:val="Grid Table 4"/>
    <w:basedOn w:val="9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8">
    <w:name w:val="Grid Table 5 Dark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9">
    <w:name w:val="Grid Table 6 Colorful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0">
    <w:name w:val="Grid Table 7 Colorful"/>
    <w:basedOn w:val="9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1">
    <w:name w:val="List Table 1 Light"/>
    <w:basedOn w:val="9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2">
    <w:name w:val="List Table 2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3">
    <w:name w:val="List Table 3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4">
    <w:name w:val="List Table 4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5">
    <w:name w:val="List Table 5 Dark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926">
    <w:name w:val="List Table 6 Colorful"/>
    <w:basedOn w:val="9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7">
    <w:name w:val="List Table 7 Colorful"/>
    <w:basedOn w:val="9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default="1" w:styleId="92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9">
    <w:name w:val="Table Grid Light"/>
    <w:basedOn w:val="92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0">
    <w:name w:val="Таблица простая 11"/>
    <w:basedOn w:val="92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1">
    <w:name w:val="Таблица простая 21"/>
    <w:basedOn w:val="92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2">
    <w:name w:val="Таблица простая 31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3">
    <w:name w:val="Таблица простая 41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4">
    <w:name w:val="Таблица простая 51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5">
    <w:name w:val="Таблица-сетка 1 светлая1"/>
    <w:basedOn w:val="92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6">
    <w:name w:val="Grid Table 1 Light - Accent 1"/>
    <w:basedOn w:val="92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7">
    <w:name w:val="Grid Table 1 Light - Accent 2"/>
    <w:basedOn w:val="92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8">
    <w:name w:val="Grid Table 1 Light - Accent 3"/>
    <w:basedOn w:val="92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9">
    <w:name w:val="Grid Table 1 Light - Accent 4"/>
    <w:basedOn w:val="92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0">
    <w:name w:val="Grid Table 1 Light - Accent 5"/>
    <w:basedOn w:val="92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1">
    <w:name w:val="Grid Table 1 Light - Accent 6"/>
    <w:basedOn w:val="92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2">
    <w:name w:val="Таблица-сетка 21"/>
    <w:basedOn w:val="92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3">
    <w:name w:val="Grid Table 2 - Accent 1"/>
    <w:basedOn w:val="92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4">
    <w:name w:val="Grid Table 2 - Accent 2"/>
    <w:basedOn w:val="92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5">
    <w:name w:val="Grid Table 2 - Accent 3"/>
    <w:basedOn w:val="92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6">
    <w:name w:val="Grid Table 2 - Accent 4"/>
    <w:basedOn w:val="92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7">
    <w:name w:val="Grid Table 2 - Accent 5"/>
    <w:basedOn w:val="92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8">
    <w:name w:val="Grid Table 2 - Accent 6"/>
    <w:basedOn w:val="92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9">
    <w:name w:val="Таблица-сетка 31"/>
    <w:basedOn w:val="92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0">
    <w:name w:val="Grid Table 3 - Accent 1"/>
    <w:basedOn w:val="92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1">
    <w:name w:val="Grid Table 3 - Accent 2"/>
    <w:basedOn w:val="92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2">
    <w:name w:val="Grid Table 3 - Accent 3"/>
    <w:basedOn w:val="92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3">
    <w:name w:val="Grid Table 3 - Accent 4"/>
    <w:basedOn w:val="92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4">
    <w:name w:val="Grid Table 3 - Accent 5"/>
    <w:basedOn w:val="92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5">
    <w:name w:val="Grid Table 3 - Accent 6"/>
    <w:basedOn w:val="92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6">
    <w:name w:val="Таблица-сетка 41"/>
    <w:basedOn w:val="92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7">
    <w:name w:val="Grid Table 4 - Accent 1"/>
    <w:basedOn w:val="92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8">
    <w:name w:val="Grid Table 4 - Accent 2"/>
    <w:basedOn w:val="92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9">
    <w:name w:val="Grid Table 4 - Accent 3"/>
    <w:basedOn w:val="92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0">
    <w:name w:val="Grid Table 4 - Accent 4"/>
    <w:basedOn w:val="92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1">
    <w:name w:val="Grid Table 4 - Accent 5"/>
    <w:basedOn w:val="92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2">
    <w:name w:val="Grid Table 4 - Accent 6"/>
    <w:basedOn w:val="92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3">
    <w:name w:val="Таблица-сетка 5 темная1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4">
    <w:name w:val="Grid Table 5 Dark- Accent 1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5">
    <w:name w:val="Grid Table 5 Dark - Accent 2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6">
    <w:name w:val="Grid Table 5 Dark - Accent 3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7">
    <w:name w:val="Grid Table 5 Dark- Accent 4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8">
    <w:name w:val="Grid Table 5 Dark - Accent 5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9">
    <w:name w:val="Grid Table 5 Dark - Accent 6"/>
    <w:basedOn w:val="9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0">
    <w:name w:val="Таблица-сетка 6 цветная1"/>
    <w:basedOn w:val="92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1">
    <w:name w:val="Grid Table 6 Colorful - Accent 1"/>
    <w:basedOn w:val="92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A0B7E1" w:themeColor="accent1" w:themeTint="80" w:themeShade="95"/>
      </w:rPr>
      <w:tblPr/>
    </w:tblStylePr>
    <w:tblStylePr w:type="firstRow">
      <w:rPr>
        <w:b/>
        <w:color w:val="A0B7E1" w:themeColor="accent1" w:themeTint="80" w:themeShade="95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tblPr/>
    </w:tblStylePr>
    <w:tblStylePr w:type="lastRow">
      <w:rPr>
        <w:b/>
        <w:color w:val="A0B7E1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2">
    <w:name w:val="Grid Table 6 Colorful - Accent 2"/>
    <w:basedOn w:val="92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3">
    <w:name w:val="Grid Table 6 Colorful - Accent 3"/>
    <w:basedOn w:val="92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4">
    <w:name w:val="Grid Table 6 Colorful - Accent 4"/>
    <w:basedOn w:val="92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5">
    <w:name w:val="Grid Table 6 Colorful - Accent 5"/>
    <w:basedOn w:val="92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6">
    <w:name w:val="Grid Table 6 Colorful - Accent 6"/>
    <w:basedOn w:val="92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7">
    <w:name w:val="Таблица-сетка 7 цветная1"/>
    <w:basedOn w:val="92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8">
    <w:name w:val="Grid Table 7 Colorful - Accent 1"/>
    <w:basedOn w:val="92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9">
    <w:name w:val="Grid Table 7 Colorful - Accent 2"/>
    <w:basedOn w:val="92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0">
    <w:name w:val="Grid Table 7 Colorful - Accent 3"/>
    <w:basedOn w:val="92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1">
    <w:name w:val="Grid Table 7 Colorful - Accent 4"/>
    <w:basedOn w:val="92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2">
    <w:name w:val="Grid Table 7 Colorful - Accent 5"/>
    <w:basedOn w:val="92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  <w:shd w:val="clear" w:color="FFFFFF" w:fill="auto"/>
      </w:tcPr>
    </w:tblStyle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3">
    <w:name w:val="Grid Table 7 Colorful - Accent 6"/>
    <w:basedOn w:val="92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4">
    <w:name w:val="Список-таблица 1 светлая1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5">
    <w:name w:val="List Table 1 Light - Accent 1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6">
    <w:name w:val="List Table 1 Light - Accent 2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7">
    <w:name w:val="List Table 1 Light - Accent 3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8">
    <w:name w:val="List Table 1 Light - Accent 4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9">
    <w:name w:val="List Table 1 Light - Accent 5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0">
    <w:name w:val="List Table 1 Light - Accent 6"/>
    <w:basedOn w:val="92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1">
    <w:name w:val="Список-таблица 21"/>
    <w:basedOn w:val="92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2">
    <w:name w:val="List Table 2 - Accent 1"/>
    <w:basedOn w:val="92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3">
    <w:name w:val="List Table 2 - Accent 2"/>
    <w:basedOn w:val="92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4">
    <w:name w:val="List Table 2 - Accent 3"/>
    <w:basedOn w:val="92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5">
    <w:name w:val="List Table 2 - Accent 4"/>
    <w:basedOn w:val="92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6">
    <w:name w:val="List Table 2 - Accent 5"/>
    <w:basedOn w:val="92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7">
    <w:name w:val="List Table 2 - Accent 6"/>
    <w:basedOn w:val="92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8">
    <w:name w:val="Список-таблица 31"/>
    <w:basedOn w:val="92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9">
    <w:name w:val="List Table 3 - Accent 1"/>
    <w:basedOn w:val="92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0">
    <w:name w:val="List Table 3 - Accent 2"/>
    <w:basedOn w:val="92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1">
    <w:name w:val="List Table 3 - Accent 3"/>
    <w:basedOn w:val="92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2">
    <w:name w:val="List Table 3 - Accent 4"/>
    <w:basedOn w:val="92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3">
    <w:name w:val="List Table 3 - Accent 5"/>
    <w:basedOn w:val="92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4">
    <w:name w:val="List Table 3 - Accent 6"/>
    <w:basedOn w:val="92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5">
    <w:name w:val="Список-таблица 41"/>
    <w:basedOn w:val="92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6">
    <w:name w:val="List Table 4 - Accent 1"/>
    <w:basedOn w:val="92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7">
    <w:name w:val="List Table 4 - Accent 2"/>
    <w:basedOn w:val="92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8">
    <w:name w:val="List Table 4 - Accent 3"/>
    <w:basedOn w:val="92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9">
    <w:name w:val="List Table 4 - Accent 4"/>
    <w:basedOn w:val="92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0">
    <w:name w:val="List Table 4 - Accent 5"/>
    <w:basedOn w:val="92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1">
    <w:name w:val="List Table 4 - Accent 6"/>
    <w:basedOn w:val="92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2">
    <w:name w:val="Список-таблица 5 темная1"/>
    <w:basedOn w:val="92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3">
    <w:name w:val="List Table 5 Dark - Accent 1"/>
    <w:basedOn w:val="92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4">
    <w:name w:val="List Table 5 Dark - Accent 2"/>
    <w:basedOn w:val="92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5">
    <w:name w:val="List Table 5 Dark - Accent 3"/>
    <w:basedOn w:val="92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6">
    <w:name w:val="List Table 5 Dark - Accent 4"/>
    <w:basedOn w:val="92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7">
    <w:name w:val="List Table 5 Dark - Accent 5"/>
    <w:basedOn w:val="92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8">
    <w:name w:val="List Table 5 Dark - Accent 6"/>
    <w:basedOn w:val="92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9">
    <w:name w:val="Список-таблица 6 цветная1"/>
    <w:basedOn w:val="92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0">
    <w:name w:val="List Table 6 Colorful - Accent 1"/>
    <w:basedOn w:val="92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175" w:themeColor="accent1" w:themeShade="95"/>
      </w:rPr>
      <w:tblPr/>
    </w:tblStyle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tblPr/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1">
    <w:name w:val="List Table 6 Colorful - Accent 2"/>
    <w:basedOn w:val="92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2">
    <w:name w:val="List Table 6 Colorful - Accent 3"/>
    <w:basedOn w:val="92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3">
    <w:name w:val="List Table 6 Colorful - Accent 4"/>
    <w:basedOn w:val="92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4">
    <w:name w:val="List Table 6 Colorful - Accent 5"/>
    <w:basedOn w:val="92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9BC2E5" w:themeColor="accent5" w:themeTint="9a" w:themeShade="95"/>
      </w:rPr>
      <w:tblPr/>
    </w:tblStylePr>
    <w:tblStylePr w:type="firstRow">
      <w:rPr>
        <w:b/>
        <w:color w:val="9BC2E5" w:themeColor="accent5" w:themeTint="9a" w:themeShade="95"/>
      </w:rPr>
      <w:tblPr/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tblPr/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5B9BD5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5">
    <w:name w:val="List Table 6 Colorful - Accent 6"/>
    <w:basedOn w:val="92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6">
    <w:name w:val="Список-таблица 7 цветная1"/>
    <w:basedOn w:val="92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7">
    <w:name w:val="List Table 7 Colorful - Accent 1"/>
    <w:basedOn w:val="928"/>
    <w:uiPriority w:val="99"/>
    <w:tblPr>
      <w:tblStyleRowBandSize w:val="1"/>
      <w:tblStyleColBandSize w:val="1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8">
    <w:name w:val="List Table 7 Colorful - Accent 2"/>
    <w:basedOn w:val="92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9">
    <w:name w:val="List Table 7 Colorful - Accent 3"/>
    <w:basedOn w:val="92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0">
    <w:name w:val="List Table 7 Colorful - Accent 4"/>
    <w:basedOn w:val="92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1">
    <w:name w:val="List Table 7 Colorful - Accent 5"/>
    <w:basedOn w:val="92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  <w:shd w:val="clear" w:color="FFFFFF" w:fill="auto"/>
      </w:tcPr>
    </w:tblStyle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2">
    <w:name w:val="List Table 7 Colorful - Accent 6"/>
    <w:basedOn w:val="92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3">
    <w:name w:val="Lined - Accent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4">
    <w:name w:val="Lined - Accent 1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5">
    <w:name w:val="Lined - Accent 2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6">
    <w:name w:val="Lined - Accent 3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7">
    <w:name w:val="Lined - Accent 4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8">
    <w:name w:val="Lined - Accent 5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9">
    <w:name w:val="Lined - Accent 6"/>
    <w:basedOn w:val="928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0">
    <w:name w:val="Bordered &amp; Lined - Accent"/>
    <w:basedOn w:val="92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1">
    <w:name w:val="Bordered &amp; Lined - Accent 1"/>
    <w:basedOn w:val="928"/>
    <w:uiPriority w:val="99"/>
    <w:rPr>
      <w:color w:val="404040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2">
    <w:name w:val="Bordered &amp; Lined - Accent 2"/>
    <w:basedOn w:val="928"/>
    <w:uiPriority w:val="99"/>
    <w:rPr>
      <w:color w:val="40404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3">
    <w:name w:val="Bordered &amp; Lined - Accent 3"/>
    <w:basedOn w:val="928"/>
    <w:uiPriority w:val="99"/>
    <w:rPr>
      <w:color w:val="40404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4">
    <w:name w:val="Bordered &amp; Lined - Accent 4"/>
    <w:basedOn w:val="928"/>
    <w:uiPriority w:val="99"/>
    <w:rPr>
      <w:color w:val="40404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5">
    <w:name w:val="Bordered &amp; Lined - Accent 5"/>
    <w:basedOn w:val="928"/>
    <w:uiPriority w:val="99"/>
    <w:rPr>
      <w:color w:val="404040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6">
    <w:name w:val="Bordered &amp; Lined - Accent 6"/>
    <w:basedOn w:val="928"/>
    <w:uiPriority w:val="99"/>
    <w:rPr>
      <w:color w:val="40404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7">
    <w:name w:val="Bordered"/>
    <w:basedOn w:val="92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8">
    <w:name w:val="Bordered - Accent 1"/>
    <w:basedOn w:val="92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9">
    <w:name w:val="Bordered - Accent 2"/>
    <w:basedOn w:val="92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0">
    <w:name w:val="Bordered - Accent 3"/>
    <w:basedOn w:val="92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1">
    <w:name w:val="Bordered - Accent 4"/>
    <w:basedOn w:val="92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2">
    <w:name w:val="Bordered - Accent 5"/>
    <w:basedOn w:val="92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3">
    <w:name w:val="Bordered - Accent 6"/>
    <w:basedOn w:val="92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4">
    <w:name w:val="Table Grid"/>
    <w:basedOn w:val="92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5">
    <w:name w:val="Сетка таблицы1"/>
    <w:basedOn w:val="928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login.consultant.ru/link/?req=doc&amp;base=LAW&amp;n=494318&amp;dst=100007" TargetMode="External"/><Relationship Id="rId6" Type="http://schemas.openxmlformats.org/officeDocument/2006/relationships/hyperlink" Target="https://login.consultant.ru/link/?req=doc&amp;base=LAW&amp;n=494318&amp;dst=100008" TargetMode="Externa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562E1-FFA7-475E-90B2-F9830219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AlterOffice/3.4.0.8$Linux_X86_64 LibreOffice_project/8f3f3c847f0b8d6fea24e251d3d8ed4f23cbe23c</Application>
  <AppVersion>15.0000</AppVersion>
  <Pages>11</Pages>
  <Words>2073</Words>
  <Characters>14578</Characters>
  <CharactersWithSpaces>16447</CharactersWithSpaces>
  <Paragraphs>241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2024-10-15T02:43:00Z</dcterms:created>
  <dc:creator>Быстров Олег Геннадьевич</dc:creator>
  <dc:description/>
  <dc:language>ru-RU</dc:language>
  <cp:lastModifiedBy>vinokurovav@sed.local</cp:lastModifiedBy>
  <dcterms:modified xsi:type="dcterms:W3CDTF">2026-08-11T15:01:30Z</dcterms:modified>
  <cp:revision>70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